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7A8B38FE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53BC209F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</w:t>
            </w:r>
            <w:r w:rsidR="00904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керівника Донецької обласної прокуратури від </w:t>
            </w:r>
            <w:r w:rsidR="0063071E" w:rsidRPr="0063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63071E" w:rsidRPr="0063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5358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0AC15B92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="00FB14F6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056789DD" w14:textId="2D9E94FD" w:rsidR="000E5B04" w:rsidRPr="00FD786C" w:rsidRDefault="00FB14F6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заступника начальника</w:t>
      </w:r>
      <w:r w:rsidR="000E5B04"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904F9C" w:rsidRPr="00904F9C">
        <w:rPr>
          <w:rFonts w:ascii="Times New Roman" w:eastAsia="Times New Roman" w:hAnsi="Times New Roman" w:cs="Times New Roman"/>
          <w:b/>
          <w:bCs/>
          <w:sz w:val="24"/>
          <w:szCs w:val="24"/>
        </w:rPr>
        <w:t>відділу організаційного та правового забезпечення</w:t>
      </w:r>
      <w:r w:rsidR="000E5B04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Донецької обласної прокуратури</w:t>
      </w:r>
    </w:p>
    <w:tbl>
      <w:tblPr>
        <w:tblW w:w="5087" w:type="pct"/>
        <w:tblInd w:w="-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420"/>
        <w:gridCol w:w="3101"/>
        <w:gridCol w:w="8"/>
        <w:gridCol w:w="5970"/>
      </w:tblGrid>
      <w:tr w:rsidR="000E5B04" w:rsidRPr="00FD786C" w14:paraId="2D07DB8C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C62DF2" w14:paraId="6D67ED87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FD786C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656C0" w14:textId="1761EECA" w:rsidR="00904F9C" w:rsidRPr="00904F9C" w:rsidRDefault="00904F9C" w:rsidP="00904F9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4F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Контролює дотримання Регламенту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обласної</w:t>
            </w:r>
            <w:r w:rsidRPr="00904F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прокуратури в апараті прокуратури та систематично вивчає стан цієї роботи, готує пропозиції керівництву щодо удосконалення цієї роботи.</w:t>
            </w:r>
          </w:p>
          <w:p w14:paraId="42EAF903" w14:textId="5AE3CFF1" w:rsidR="00904F9C" w:rsidRPr="00904F9C" w:rsidRDefault="00904F9C" w:rsidP="00904F9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4F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Здійснює контроль за обґрунтованістю та дотриманням порядку направлення керівникам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окружн</w:t>
            </w:r>
            <w:r w:rsidRPr="00904F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их прокуратур завдань та доручень, інших документів (крім інформаційних листів), забезпечує їх узгодженість між самостійними структурними підрозділами та відповідність наказам Генерального прокурора, Регламенту Офісу Генерального прокурора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обласної </w:t>
            </w:r>
            <w:r w:rsidRPr="00904F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прокуратури.</w:t>
            </w:r>
          </w:p>
          <w:p w14:paraId="4B5FCC32" w14:textId="77777777" w:rsidR="00904F9C" w:rsidRPr="00904F9C" w:rsidRDefault="00904F9C" w:rsidP="00904F9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4F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Контролює стан виконання завдань та доручень Офісу Генерального прокурора, вивчає стан цієї роботи, готує пропозиції керівництву щодо удосконалення цієї роботи, вживає заходи щодо виявлення завдань та контрольних доручень, надісланих з порушенням встановленого порядку, негайно вирішує питання про їх відкликання та вжиття заходів реагування до порушників.</w:t>
            </w:r>
          </w:p>
          <w:p w14:paraId="3529676B" w14:textId="2FB5403C" w:rsidR="00904F9C" w:rsidRPr="00530346" w:rsidRDefault="00904F9C" w:rsidP="00904F9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46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 пропозиції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керівнику обласної прокуратури</w:t>
            </w:r>
            <w:r w:rsidRPr="0053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порядку розгляду документів, які потребують його резолюції.</w:t>
            </w:r>
          </w:p>
          <w:p w14:paraId="107131C4" w14:textId="520DB652" w:rsidR="00904F9C" w:rsidRPr="00530346" w:rsidRDefault="00904F9C" w:rsidP="00904F9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46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 w:rsidRPr="00530346">
              <w:rPr>
                <w:rFonts w:ascii="Times New Roman" w:eastAsia="Times New Roman" w:hAnsi="Times New Roman" w:cs="Times New Roman"/>
                <w:sz w:val="24"/>
                <w:szCs w:val="24"/>
              </w:rPr>
              <w:t>кти наказів про розподіл обов’язків між керівниками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Донецької обласної </w:t>
            </w:r>
            <w:r w:rsidRPr="0053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прокуратури та забезпечує своєчасність направлення їх до Офісу Генерального прокурора.</w:t>
            </w:r>
          </w:p>
          <w:p w14:paraId="618EE107" w14:textId="58E9B215" w:rsidR="00904F9C" w:rsidRPr="00904F9C" w:rsidRDefault="00904F9C" w:rsidP="00904F9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Спільно з керівниками структурних підрозділів опрацьовує проекти наказів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обласної прокуратури</w:t>
            </w:r>
            <w:r w:rsidRPr="0053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питань, пов’язаних із роботою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управлінь та відділів.</w:t>
            </w:r>
          </w:p>
          <w:p w14:paraId="415BA58E" w14:textId="412AC786" w:rsidR="00904F9C" w:rsidRPr="00904F9C" w:rsidRDefault="00904F9C" w:rsidP="00904F9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4F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Здійснює контроль за порядком направлення керівникам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окружн</w:t>
            </w:r>
            <w:r w:rsidRPr="00904F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 прокуратур листів орієнтовного характеру, інформаційних та інших листів з питань, пов’язаних із роботою управлін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04F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відділів</w:t>
            </w:r>
            <w:r w:rsidRPr="00904F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забезпечує їх узгодженість між самостійними структурними підрозділами та відповідність наказам Генерального прокурора, рішенням </w:t>
            </w:r>
            <w:r w:rsidRPr="00904F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нарад, Регламенту Офісу Генерального прокурора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обласної </w:t>
            </w:r>
            <w:r w:rsidRPr="00904F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прокуратури.</w:t>
            </w:r>
          </w:p>
          <w:p w14:paraId="73EB1485" w14:textId="34EE5AB8" w:rsidR="00904F9C" w:rsidRPr="00530346" w:rsidRDefault="00904F9C" w:rsidP="00904F9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 книги обліку завдань та доручень, надісланих апаратом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обласної </w:t>
            </w:r>
            <w:r w:rsidRPr="0053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прокуратури керівникам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окружн</w:t>
            </w:r>
            <w:r w:rsidRPr="0053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прокуратур з відміткою «ОКВ», семінарських занять у відділі та розподілу обов’язків між керівництвом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обласної </w:t>
            </w:r>
            <w:r w:rsidRPr="005303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прокуратури.</w:t>
            </w:r>
          </w:p>
          <w:p w14:paraId="1C7F2DA7" w14:textId="0F4C621D" w:rsidR="00904F9C" w:rsidRPr="00530346" w:rsidRDefault="00904F9C" w:rsidP="00904F9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Забезпечує своєчасність направлення до Офісу Генерального прокурора Регламенту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обласної прокуратури</w:t>
            </w:r>
            <w:r w:rsidRPr="005303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542C40E" w14:textId="5607128B" w:rsidR="000E5B04" w:rsidRPr="0086247D" w:rsidRDefault="00904F9C" w:rsidP="00904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4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інших завдань та доручень керівництва відділу.</w:t>
            </w:r>
          </w:p>
        </w:tc>
      </w:tr>
      <w:tr w:rsidR="000E5B04" w:rsidRPr="005358C9" w14:paraId="2A9E2AE9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3760EDD9"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FB14F6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63071E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6307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63071E">
              <w:rPr>
                <w:rFonts w:ascii="Times New Roman" w:hAnsi="Times New Roman"/>
                <w:sz w:val="24"/>
                <w:szCs w:val="24"/>
                <w:lang w:val="uk-UA"/>
              </w:rPr>
              <w:t>зі змінами</w:t>
            </w:r>
            <w:r w:rsidR="0063071E" w:rsidRPr="0063071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E5B04" w:rsidRPr="00FD786C" w14:paraId="47A96F13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>оприлюднення відомостей стосовно неї відповідно до зазначеного Закону.</w:t>
            </w:r>
          </w:p>
          <w:p w14:paraId="4CABAA4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1C0A7C25" w:rsidR="000E5B04" w:rsidRPr="00FD786C" w:rsidRDefault="00A239B3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63071E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5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63071E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16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3D5F0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квітня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7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B8BD5B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</w:t>
            </w:r>
            <w:r w:rsidR="00FB1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розв’язання ситуаційного завдання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64B61191" w:rsidR="000C3C18" w:rsidRPr="00FD786C" w:rsidRDefault="0063071E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квітня 2021 року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FD786C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FF69F35" w14:textId="77777777" w:rsidR="00FB14F6" w:rsidRDefault="00FB14F6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4E92C75A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FD786C" w:rsidRDefault="000C3C18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 Марія Вячеславівна</w:t>
            </w:r>
          </w:p>
          <w:p w14:paraId="67200C58" w14:textId="6479D966" w:rsidR="000E5B04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FD786C" w14:paraId="6208F483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FB14F6" w:rsidRPr="00FD786C" w14:paraId="3D334747" w14:textId="77777777" w:rsidTr="00375463">
        <w:trPr>
          <w:gridBefore w:val="1"/>
          <w:wBefore w:w="13" w:type="dxa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FB14F6" w:rsidRPr="00FD786C" w:rsidRDefault="00FB14F6" w:rsidP="00FB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786EFF95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Вища </w:t>
            </w:r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освіта не нижче ступеня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магістра</w:t>
            </w:r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(спеціальності: «Правознавство», «Право»)</w:t>
            </w:r>
          </w:p>
        </w:tc>
      </w:tr>
      <w:tr w:rsidR="00FB14F6" w:rsidRPr="00FD786C" w14:paraId="4DB276FC" w14:textId="77777777" w:rsidTr="00375463">
        <w:trPr>
          <w:gridBefore w:val="1"/>
          <w:wBefore w:w="13" w:type="dxa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FB14F6" w:rsidRPr="00FD786C" w:rsidRDefault="00FB14F6" w:rsidP="00FB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73F935DA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3D5F02" w:rsidRPr="00FD786C" w14:paraId="66CCA6AC" w14:textId="77777777" w:rsidTr="00375463">
        <w:trPr>
          <w:gridBefore w:val="1"/>
          <w:wBefore w:w="13" w:type="dxa"/>
          <w:trHeight w:val="69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60049FAE" w14:textId="77777777" w:rsidTr="00375463">
        <w:trPr>
          <w:gridBefore w:val="1"/>
          <w:wBefore w:w="13" w:type="dxa"/>
          <w:trHeight w:val="69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14:paraId="30EB4BCA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FB14F6" w:rsidRPr="00FB14F6" w14:paraId="7306FD64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E0B4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09" w:type="dxa"/>
            <w:gridSpan w:val="2"/>
          </w:tcPr>
          <w:p w14:paraId="362C1C14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Лідерство</w:t>
            </w:r>
          </w:p>
        </w:tc>
        <w:tc>
          <w:tcPr>
            <w:tcW w:w="5970" w:type="dxa"/>
          </w:tcPr>
          <w:p w14:paraId="553DF812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організація колективу для досягнення визначеної мети, методи стимуляції та мотивації підпорядкованих працівників;</w:t>
            </w:r>
          </w:p>
          <w:p w14:paraId="45629BFC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уміння обґрунтовувати та обстоювати власну позицію</w:t>
            </w:r>
          </w:p>
        </w:tc>
      </w:tr>
      <w:tr w:rsidR="00FB14F6" w:rsidRPr="00FB14F6" w14:paraId="261EBDDB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E647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3109" w:type="dxa"/>
            <w:gridSpan w:val="2"/>
          </w:tcPr>
          <w:p w14:paraId="581622DC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Прийняття ефективних рішень</w:t>
            </w:r>
          </w:p>
        </w:tc>
        <w:tc>
          <w:tcPr>
            <w:tcW w:w="5970" w:type="dxa"/>
          </w:tcPr>
          <w:p w14:paraId="64442F81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вміння вирішувати комплексні завдання;</w:t>
            </w:r>
          </w:p>
          <w:p w14:paraId="26DF630C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ефективно використовувати ресурси (у тому числі фінансові і матеріальні);</w:t>
            </w:r>
          </w:p>
          <w:p w14:paraId="6853188B" w14:textId="60D2EF9D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60"/>
            <w:bookmarkEnd w:id="2"/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bookmarkStart w:id="3" w:name="n61"/>
            <w:bookmarkEnd w:id="3"/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вміння працювати з великими масивами інформації;</w:t>
            </w:r>
          </w:p>
          <w:p w14:paraId="56E18E59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" w:name="n62"/>
            <w:bookmarkStart w:id="5" w:name="n63"/>
            <w:bookmarkEnd w:id="4"/>
            <w:bookmarkEnd w:id="5"/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встановлення цілей, пріоритетів та орієнтирів.</w:t>
            </w:r>
          </w:p>
        </w:tc>
      </w:tr>
      <w:tr w:rsidR="00A62114" w:rsidRPr="00FB14F6" w14:paraId="0206FAEC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88E" w14:textId="47C7873C" w:rsidR="00A62114" w:rsidRPr="00FB14F6" w:rsidRDefault="0067359D" w:rsidP="00A6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09" w:type="dxa"/>
            <w:gridSpan w:val="2"/>
          </w:tcPr>
          <w:p w14:paraId="079EE28A" w14:textId="25CDB3E5" w:rsidR="00A62114" w:rsidRPr="00FB14F6" w:rsidRDefault="00A62114" w:rsidP="00A6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Делегування завдань</w:t>
            </w:r>
          </w:p>
        </w:tc>
        <w:tc>
          <w:tcPr>
            <w:tcW w:w="5970" w:type="dxa"/>
          </w:tcPr>
          <w:p w14:paraId="5F7B13AF" w14:textId="77777777" w:rsidR="00A62114" w:rsidRDefault="00A62114" w:rsidP="00A621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 алгоритму та процесів, необхідних для виконання завдання, передачі функцій та повноважень;</w:t>
            </w:r>
          </w:p>
          <w:p w14:paraId="0FAF02F5" w14:textId="77777777" w:rsidR="00A62114" w:rsidRDefault="00A62114" w:rsidP="00A6211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розподілити завдання між декількома працівниками та сформувати у них правильне розуміння кінцевої мети та очікуваного результату;</w:t>
            </w:r>
          </w:p>
          <w:p w14:paraId="6CC5F9A4" w14:textId="48113770" w:rsidR="00A62114" w:rsidRPr="00FB14F6" w:rsidRDefault="00A62114" w:rsidP="00A6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здійснювати супровід, моніторинг та контроль делегованих завдань, оцінювати ефективність їх виконання</w:t>
            </w:r>
          </w:p>
        </w:tc>
      </w:tr>
      <w:tr w:rsidR="0067359D" w:rsidRPr="00FB14F6" w14:paraId="308E3F8A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5241" w14:textId="4C9BDB11" w:rsidR="0067359D" w:rsidRPr="00FB14F6" w:rsidRDefault="0067359D" w:rsidP="0067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09" w:type="dxa"/>
            <w:gridSpan w:val="2"/>
          </w:tcPr>
          <w:p w14:paraId="703F5623" w14:textId="433B6083" w:rsidR="0067359D" w:rsidRDefault="0067359D" w:rsidP="0067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Встановлення цілей, пріоритетів та орієнтирів</w:t>
            </w:r>
          </w:p>
        </w:tc>
        <w:tc>
          <w:tcPr>
            <w:tcW w:w="5970" w:type="dxa"/>
          </w:tcPr>
          <w:p w14:paraId="57F25C54" w14:textId="77777777" w:rsidR="0067359D" w:rsidRDefault="0067359D" w:rsidP="0067359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after="0" w:line="240" w:lineRule="auto"/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встановлювати чіткі, реальні, досяжні групові чи індивідуальні цілі та пріоритети;</w:t>
            </w:r>
          </w:p>
          <w:p w14:paraId="48D86457" w14:textId="07CCDB16" w:rsidR="0067359D" w:rsidRDefault="0067359D" w:rsidP="0067359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spacing w:after="0" w:line="240" w:lineRule="auto"/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визначати орієнтири для досягнення групових чи індивідуальних цілей</w:t>
            </w:r>
          </w:p>
        </w:tc>
      </w:tr>
      <w:tr w:rsidR="0067359D" w:rsidRPr="00FB14F6" w14:paraId="3A53DFEF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EA67" w14:textId="123005F4" w:rsidR="0067359D" w:rsidRPr="00FB14F6" w:rsidRDefault="0067359D" w:rsidP="0067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09" w:type="dxa"/>
            <w:gridSpan w:val="2"/>
          </w:tcPr>
          <w:p w14:paraId="633153E0" w14:textId="202F2393" w:rsidR="0067359D" w:rsidRPr="00FB14F6" w:rsidRDefault="0067359D" w:rsidP="0067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Стратегічне управління</w:t>
            </w:r>
          </w:p>
        </w:tc>
        <w:tc>
          <w:tcPr>
            <w:tcW w:w="5970" w:type="dxa"/>
          </w:tcPr>
          <w:p w14:paraId="4B74844F" w14:textId="77777777" w:rsidR="0067359D" w:rsidRDefault="0067359D" w:rsidP="0067359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spacing w:after="0" w:line="240" w:lineRule="auto"/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бачення загальної картини та довгострокових цілей;</w:t>
            </w:r>
          </w:p>
          <w:p w14:paraId="5004B698" w14:textId="77777777" w:rsidR="0067359D" w:rsidRDefault="0067359D" w:rsidP="0067359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spacing w:after="0" w:line="240" w:lineRule="auto"/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визначати напрям та формувати відповідні плани розвитку;</w:t>
            </w:r>
          </w:p>
          <w:p w14:paraId="5C334EE0" w14:textId="77777777" w:rsidR="0067359D" w:rsidRDefault="0067359D" w:rsidP="0067359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spacing w:after="0" w:line="240" w:lineRule="auto"/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рішучість та наполегливість у впровадженні змін;</w:t>
            </w:r>
          </w:p>
          <w:p w14:paraId="3765C32A" w14:textId="77777777" w:rsidR="0067359D" w:rsidRDefault="0067359D" w:rsidP="0067359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залучення впливових сторін;</w:t>
            </w:r>
          </w:p>
          <w:p w14:paraId="3537D785" w14:textId="55FCE94A" w:rsidR="0067359D" w:rsidRPr="00FB14F6" w:rsidRDefault="0067359D" w:rsidP="00673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оцінка ефективності на корегування планів</w:t>
            </w:r>
          </w:p>
        </w:tc>
      </w:tr>
      <w:tr w:rsidR="0067359D" w:rsidRPr="00FD786C" w14:paraId="5E344EA1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67359D" w:rsidRPr="00FD786C" w:rsidRDefault="0067359D" w:rsidP="006735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67359D" w:rsidRPr="00FD786C" w14:paraId="7896AF98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67359D" w:rsidRPr="00FD786C" w:rsidRDefault="0067359D" w:rsidP="006735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67359D" w:rsidRPr="00FD786C" w:rsidRDefault="0067359D" w:rsidP="006735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7359D" w:rsidRPr="00FD786C" w14:paraId="6ECA0314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420" w:type="dxa"/>
            <w:shd w:val="clear" w:color="auto" w:fill="auto"/>
          </w:tcPr>
          <w:p w14:paraId="57C5780E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09" w:type="dxa"/>
            <w:gridSpan w:val="2"/>
            <w:shd w:val="clear" w:color="auto" w:fill="auto"/>
          </w:tcPr>
          <w:p w14:paraId="4D9B87ED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70" w:type="dxa"/>
            <w:shd w:val="clear" w:color="auto" w:fill="auto"/>
          </w:tcPr>
          <w:p w14:paraId="62BA7CF1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67359D" w:rsidRPr="00FD786C" w14:paraId="5EB0C01A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420" w:type="dxa"/>
            <w:shd w:val="clear" w:color="auto" w:fill="auto"/>
          </w:tcPr>
          <w:p w14:paraId="56E51AD0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9" w:type="dxa"/>
            <w:gridSpan w:val="2"/>
            <w:shd w:val="clear" w:color="auto" w:fill="auto"/>
          </w:tcPr>
          <w:p w14:paraId="2E4283D7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70" w:type="dxa"/>
            <w:shd w:val="clear" w:color="auto" w:fill="auto"/>
          </w:tcPr>
          <w:p w14:paraId="72169C9C" w14:textId="77777777" w:rsidR="0067359D" w:rsidRPr="00F350F7" w:rsidRDefault="0067359D" w:rsidP="006735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Знання: </w:t>
            </w:r>
          </w:p>
          <w:p w14:paraId="6882F292" w14:textId="77777777" w:rsidR="0067359D" w:rsidRPr="00D87786" w:rsidRDefault="0067359D" w:rsidP="0067359D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15D18D54" w14:textId="77777777" w:rsidR="00375463" w:rsidRDefault="0067359D" w:rsidP="00375463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14:paraId="6DCFD920" w14:textId="3E7454F6" w:rsidR="0067359D" w:rsidRPr="00D87786" w:rsidRDefault="0067359D" w:rsidP="00375463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59C984CE" w14:textId="77777777" w:rsidR="0067359D" w:rsidRPr="00D87786" w:rsidRDefault="0067359D" w:rsidP="0067359D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3B5082C9" w14:textId="77777777" w:rsidR="0067359D" w:rsidRPr="00F350F7" w:rsidRDefault="0067359D" w:rsidP="0067359D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Накази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14:paraId="19AB60E4" w14:textId="53B11A35" w:rsidR="0067359D" w:rsidRPr="00FD786C" w:rsidRDefault="0067359D" w:rsidP="0067359D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  <w:r w:rsidRPr="00FD786C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6" w:name="n767"/>
      <w:bookmarkEnd w:id="6"/>
    </w:p>
    <w:sectPr w:rsidR="007E2EF9" w:rsidRPr="00FD78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702E6" w14:textId="77777777" w:rsidR="00052ADA" w:rsidRDefault="00052ADA" w:rsidP="002A666B">
      <w:pPr>
        <w:spacing w:after="0" w:line="240" w:lineRule="auto"/>
      </w:pPr>
      <w:r>
        <w:separator/>
      </w:r>
    </w:p>
  </w:endnote>
  <w:endnote w:type="continuationSeparator" w:id="0">
    <w:p w14:paraId="1474EB17" w14:textId="77777777" w:rsidR="00052ADA" w:rsidRDefault="00052ADA" w:rsidP="002A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F7E5" w14:textId="77777777" w:rsidR="002A666B" w:rsidRDefault="002A666B" w:rsidP="002A666B">
    <w:pPr>
      <w:pStyle w:val="a8"/>
      <w:tabs>
        <w:tab w:val="left" w:pos="89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44091" w14:textId="77777777" w:rsidR="00052ADA" w:rsidRDefault="00052ADA" w:rsidP="002A666B">
      <w:pPr>
        <w:spacing w:after="0" w:line="240" w:lineRule="auto"/>
      </w:pPr>
      <w:r>
        <w:separator/>
      </w:r>
    </w:p>
  </w:footnote>
  <w:footnote w:type="continuationSeparator" w:id="0">
    <w:p w14:paraId="027AB032" w14:textId="77777777" w:rsidR="00052ADA" w:rsidRDefault="00052ADA" w:rsidP="002A6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0900790"/>
    <w:multiLevelType w:val="multilevel"/>
    <w:tmpl w:val="85C0B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7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8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52ADA"/>
    <w:rsid w:val="000A4DDA"/>
    <w:rsid w:val="000C3C18"/>
    <w:rsid w:val="000E5B04"/>
    <w:rsid w:val="00296A6F"/>
    <w:rsid w:val="002A1123"/>
    <w:rsid w:val="002A666B"/>
    <w:rsid w:val="003317DE"/>
    <w:rsid w:val="00375463"/>
    <w:rsid w:val="00396526"/>
    <w:rsid w:val="003D5F02"/>
    <w:rsid w:val="00505BBE"/>
    <w:rsid w:val="005358C9"/>
    <w:rsid w:val="005B78C2"/>
    <w:rsid w:val="00625876"/>
    <w:rsid w:val="0063071E"/>
    <w:rsid w:val="00647249"/>
    <w:rsid w:val="0067359D"/>
    <w:rsid w:val="006C72EE"/>
    <w:rsid w:val="007E2EF9"/>
    <w:rsid w:val="0086247D"/>
    <w:rsid w:val="00867F78"/>
    <w:rsid w:val="00904F9C"/>
    <w:rsid w:val="00A239B3"/>
    <w:rsid w:val="00A62114"/>
    <w:rsid w:val="00C07C5F"/>
    <w:rsid w:val="00C62DF2"/>
    <w:rsid w:val="00E54992"/>
    <w:rsid w:val="00F350F7"/>
    <w:rsid w:val="00FB0587"/>
    <w:rsid w:val="00FB14F6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header"/>
    <w:basedOn w:val="a"/>
    <w:link w:val="a7"/>
    <w:uiPriority w:val="99"/>
    <w:unhideWhenUsed/>
    <w:rsid w:val="002A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666B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A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666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ree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21</cp:revision>
  <cp:lastPrinted>2021-04-07T13:13:00Z</cp:lastPrinted>
  <dcterms:created xsi:type="dcterms:W3CDTF">2021-03-28T16:42:00Z</dcterms:created>
  <dcterms:modified xsi:type="dcterms:W3CDTF">2021-04-08T06:28:00Z</dcterms:modified>
</cp:coreProperties>
</file>