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B31BC0">
        <w:rPr>
          <w:rFonts w:ascii="Times New Roman" w:hAnsi="Times New Roman"/>
          <w:sz w:val="28"/>
          <w:szCs w:val="28"/>
        </w:rPr>
        <w:t>у кількості 12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B31BC0">
        <w:rPr>
          <w:rFonts w:ascii="Times New Roman" w:hAnsi="Times New Roman" w:cs="Times New Roman"/>
          <w:sz w:val="28"/>
          <w:szCs w:val="28"/>
        </w:rPr>
        <w:t>UA-2023-03-07-010953-a</w:t>
      </w:r>
      <w:r w:rsidR="00915259" w:rsidRPr="00BB3323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B3323">
        <w:rPr>
          <w:rFonts w:ascii="Times New Roman" w:hAnsi="Times New Roman" w:cs="Times New Roman"/>
          <w:sz w:val="28"/>
          <w:szCs w:val="28"/>
        </w:rPr>
        <w:t>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16FC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2023-03-09T13:16:00Z</cp:lastPrinted>
  <dcterms:created xsi:type="dcterms:W3CDTF">2023-03-09T13:16:00Z</dcterms:created>
  <dcterms:modified xsi:type="dcterms:W3CDTF">2023-03-09T13:16:00Z</dcterms:modified>
</cp:coreProperties>
</file>