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E40CCE" w:rsidRPr="00FD786C" w14:paraId="4A76CF21" w14:textId="77777777" w:rsidTr="00536AE6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09EBF3" w14:textId="356F9956" w:rsidR="00E40CCE" w:rsidRPr="00FD786C" w:rsidRDefault="005565A0" w:rsidP="00536A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1705202132</w:t>
            </w:r>
            <w:r w:rsidR="00E40CCE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ADB147" w14:textId="5A5B4C00" w:rsidR="00E40CCE" w:rsidRPr="00FD786C" w:rsidRDefault="00E40CCE" w:rsidP="00536A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Донецької обласної прокуратури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р.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07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AF4F2C3" w14:textId="77777777" w:rsidR="00E40CCE" w:rsidRPr="00FD786C" w:rsidRDefault="00E40CCE" w:rsidP="00E40CCE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D78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32121183" w14:textId="77777777" w:rsidR="00E40CCE" w:rsidRPr="00FD786C" w:rsidRDefault="00E40CCE" w:rsidP="00E40CC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7A368CED" w14:textId="14195902" w:rsidR="00E40CCE" w:rsidRPr="00FD786C" w:rsidRDefault="00E40CCE" w:rsidP="00E40CCE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головного спеціаліста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відділу </w:t>
      </w:r>
      <w:r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нагляду за додержанням законів органами СБУ та Державної прикордонної служби</w:t>
      </w:r>
      <w:r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Донецької обласної прокуратури</w:t>
      </w: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69"/>
        <w:gridCol w:w="8"/>
        <w:gridCol w:w="5954"/>
      </w:tblGrid>
      <w:tr w:rsidR="00E40CCE" w:rsidRPr="00FD786C" w14:paraId="5E383371" w14:textId="77777777" w:rsidTr="00536AE6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C96519" w14:textId="77777777" w:rsidR="00E40CCE" w:rsidRPr="00FD786C" w:rsidRDefault="00E40CCE" w:rsidP="00536A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E40CCE" w:rsidRPr="00C62DF2" w14:paraId="7E70C235" w14:textId="77777777" w:rsidTr="00536AE6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1A5B35" w14:textId="77777777" w:rsidR="00E40CCE" w:rsidRPr="00FD786C" w:rsidRDefault="00E40CCE" w:rsidP="00536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64181F" w14:textId="77777777" w:rsidR="00E40CCE" w:rsidRPr="001E7A5D" w:rsidRDefault="00E40CCE" w:rsidP="00E40CCE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7A5D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1E7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A5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практичну</w:t>
            </w:r>
            <w:proofErr w:type="spellEnd"/>
            <w:r w:rsidRPr="001E7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A5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1E7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прокурорам </w:t>
            </w:r>
            <w:proofErr w:type="spellStart"/>
            <w:r w:rsidRPr="001E7A5D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1E7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E7A5D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1E7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A5D"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обробки</w:t>
            </w:r>
            <w:proofErr w:type="spellEnd"/>
            <w:r w:rsidRPr="001E7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A5D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інформаційно-аналітичних</w:t>
            </w:r>
            <w:proofErr w:type="spellEnd"/>
            <w:r w:rsidRPr="001E7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A5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1E7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DFE11EF" w14:textId="77777777" w:rsidR="00E40CCE" w:rsidRPr="00D014AB" w:rsidRDefault="00E40CCE" w:rsidP="00E40CCE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Щомісячно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формує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інформаційні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аналітичні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керівнику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керівнику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службової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702F242" w14:textId="77777777" w:rsidR="00E40CCE" w:rsidRPr="00D014AB" w:rsidRDefault="00E40CCE" w:rsidP="00E40CCE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Опрацьовує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взаємодії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прокурорами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протоколів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оперативних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нарад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головуванням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начальника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за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виконанням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протоколів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оперативних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нарад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714D885" w14:textId="77777777" w:rsidR="00E40CCE" w:rsidRPr="00D014AB" w:rsidRDefault="00E40CCE" w:rsidP="00E40CCE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начальником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опрацьовує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наказів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пов’язаних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нагляду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додержанням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законів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органами СБУ та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прикордонної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5C33A9D" w14:textId="77777777" w:rsidR="00E40CCE" w:rsidRPr="00D014AB" w:rsidRDefault="00E40CCE" w:rsidP="00E40CCE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систематизацію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прокурорського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нагляду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станом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досудового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розслідування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кримінальних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провадженнях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досудове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розслідування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здійснюється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 ГУ СБУ в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Донецькій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Луганській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областях.</w:t>
            </w:r>
          </w:p>
          <w:p w14:paraId="2DAC59C6" w14:textId="77777777" w:rsidR="00E40CCE" w:rsidRPr="00D014AB" w:rsidRDefault="00E40CCE" w:rsidP="00E40CCE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внесених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досудових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розслідувань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 та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кримінальних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правопорушень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досудове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розслідування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здійснюється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 ГУ СБУ в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Донецькій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Луганській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областях.</w:t>
            </w:r>
          </w:p>
          <w:p w14:paraId="47FCD85F" w14:textId="77777777" w:rsidR="00E40CCE" w:rsidRPr="00D014AB" w:rsidRDefault="00E40CCE" w:rsidP="00E40CCE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Готує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листів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орієнтовного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характеру,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листів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пов’язаних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роботою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додержанням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законів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органами СБУ та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прикордонної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узгодженість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самостійними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структурними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підрозділами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наказам Генерального прокурора,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рішенням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нарад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Регламенту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Офісу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Генерального прокурора і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A058D60" w14:textId="77777777" w:rsidR="00E40CCE" w:rsidRPr="00D014AB" w:rsidRDefault="00E40CCE" w:rsidP="00E40CCE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Опрацьовує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обмежений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 (у тому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ДСК), а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саме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містяться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наказах,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розпорядженнях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вказівках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управлінських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актах, а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доповідних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записках,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довідках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листах,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аналізах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узагальненнях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документах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прокурорського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реагування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методичних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рекомендаціях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відомчої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кореспонденції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документах, для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службова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</w:p>
          <w:p w14:paraId="520D860C" w14:textId="77777777" w:rsidR="00E40CCE" w:rsidRPr="00D014AB" w:rsidRDefault="00E40CCE" w:rsidP="00E40CCE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прокурорів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судах та з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звернень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BDC62F5" w14:textId="77777777" w:rsidR="00E40CCE" w:rsidRPr="00D014AB" w:rsidRDefault="00E40CCE" w:rsidP="00E40CCE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межах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звернень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запитів</w:t>
            </w:r>
            <w:proofErr w:type="spellEnd"/>
          </w:p>
          <w:p w14:paraId="00CD40BA" w14:textId="77777777" w:rsidR="00E40CCE" w:rsidRPr="00D014AB" w:rsidRDefault="00E40CCE" w:rsidP="00E40CCE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Організовує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практики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інформаційно-аналітичного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прокурорів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D38CC73" w14:textId="77777777" w:rsidR="00E40CCE" w:rsidRPr="00D014AB" w:rsidRDefault="00E40CCE" w:rsidP="00E40CCE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постійний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кореспонденції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отриманої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електронну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адресу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внутрішньої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7085069" w14:textId="77777777" w:rsidR="00E40CCE" w:rsidRPr="00D014AB" w:rsidRDefault="00E40CCE" w:rsidP="00E40CCE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працівниками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0ECFB47" w14:textId="4501C262" w:rsidR="00E40CCE" w:rsidRPr="0086247D" w:rsidRDefault="00E40CCE" w:rsidP="00E4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службові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забезпеченням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покладених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структурний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</w:t>
            </w:r>
            <w:proofErr w:type="spellEnd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AB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</w:p>
        </w:tc>
      </w:tr>
      <w:tr w:rsidR="00E40CCE" w:rsidRPr="005565A0" w14:paraId="16858B03" w14:textId="77777777" w:rsidTr="00536AE6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D76F47" w14:textId="77777777" w:rsidR="00E40CCE" w:rsidRPr="00FD786C" w:rsidRDefault="00E40CCE" w:rsidP="00536A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D4D2BB" w14:textId="77777777" w:rsidR="00E40CCE" w:rsidRPr="00FD786C" w:rsidRDefault="00E40CCE" w:rsidP="00536AE6">
            <w:pPr>
              <w:spacing w:before="150" w:after="15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5500,00 грн.,</w:t>
            </w:r>
            <w:r w:rsidRPr="00FD786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6CA524E6" w14:textId="77777777" w:rsidR="00E40CCE" w:rsidRPr="00FD786C" w:rsidRDefault="00E40CCE" w:rsidP="00536A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</w:p>
        </w:tc>
      </w:tr>
      <w:tr w:rsidR="00E40CCE" w:rsidRPr="00FD786C" w14:paraId="08DA5C99" w14:textId="77777777" w:rsidTr="00536AE6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32A485" w14:textId="77777777" w:rsidR="00E40CCE" w:rsidRPr="00FD786C" w:rsidRDefault="00E40CCE" w:rsidP="00536A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DE3F28" w14:textId="77777777" w:rsidR="00E40CCE" w:rsidRPr="00FD786C" w:rsidRDefault="00E40CCE" w:rsidP="00536A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Безстроково.</w:t>
            </w:r>
          </w:p>
          <w:p w14:paraId="3229CE41" w14:textId="77777777" w:rsidR="00E40CCE" w:rsidRPr="00FD786C" w:rsidRDefault="00E40CCE" w:rsidP="00536A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встановлюється відповідно до  пункту 4 частини 2 статті 34 Закону України «Про державну службу». </w:t>
            </w:r>
          </w:p>
        </w:tc>
      </w:tr>
      <w:tr w:rsidR="00E40CCE" w:rsidRPr="00FD786C" w14:paraId="47B3F12D" w14:textId="77777777" w:rsidTr="00536AE6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1F09E9" w14:textId="77777777" w:rsidR="00E40CCE" w:rsidRPr="00FD786C" w:rsidRDefault="00E40CCE" w:rsidP="00536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CC0F8E" w14:textId="77777777" w:rsidR="00E40CCE" w:rsidRPr="00FD786C" w:rsidRDefault="00E40CCE" w:rsidP="00536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687D813E" w14:textId="77777777" w:rsidR="00E40CCE" w:rsidRPr="00FD786C" w:rsidRDefault="00E40CCE" w:rsidP="00536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31D40C61" w14:textId="77777777" w:rsidR="00E40CCE" w:rsidRPr="00FD786C" w:rsidRDefault="00E40CCE" w:rsidP="00536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2EEBAB73" w14:textId="77777777" w:rsidR="00E40CCE" w:rsidRPr="00FD786C" w:rsidRDefault="00E40CCE" w:rsidP="00536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221D15D3" w14:textId="77777777" w:rsidR="00E40CCE" w:rsidRPr="00FD786C" w:rsidRDefault="00E40CCE" w:rsidP="00536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50DAF839" w14:textId="77777777" w:rsidR="00E40CCE" w:rsidRPr="00FD786C" w:rsidRDefault="00E40CCE" w:rsidP="00536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7B7181DD" w14:textId="77777777" w:rsidR="00E40CCE" w:rsidRPr="00FD786C" w:rsidRDefault="00E40CCE" w:rsidP="00536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lastRenderedPageBreak/>
              <w:t>- підтвердження рівня вільного володіння державною мовою;</w:t>
            </w:r>
          </w:p>
          <w:p w14:paraId="4C8FEF59" w14:textId="77777777" w:rsidR="00E40CCE" w:rsidRPr="00FD786C" w:rsidRDefault="00E40CCE" w:rsidP="00536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48DE111C" w14:textId="77777777" w:rsidR="00E40CCE" w:rsidRPr="00FD786C" w:rsidRDefault="00E40CCE" w:rsidP="00536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повідомляє,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0A43289B" w14:textId="77777777" w:rsidR="00E40CCE" w:rsidRPr="00FD786C" w:rsidRDefault="00E40CCE" w:rsidP="00536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4D797615" w14:textId="77777777" w:rsidR="00E40CCE" w:rsidRPr="00FD786C" w:rsidRDefault="00E40CCE" w:rsidP="00536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5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24 травня</w:t>
            </w:r>
            <w:r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 через Єдиний портал вакансій державної служби НАДС за посиланням </w:t>
            </w:r>
            <w:hyperlink r:id="rId5" w:history="1">
              <w:r w:rsidRPr="00FD786C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Pr="00FD786C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E40CCE" w:rsidRPr="00FD786C" w14:paraId="4F04B445" w14:textId="77777777" w:rsidTr="00536AE6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381440" w14:textId="77777777" w:rsidR="00E40CCE" w:rsidRPr="00FD786C" w:rsidRDefault="00E40CCE" w:rsidP="00536A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6DD156" w14:textId="77777777" w:rsidR="00E40CCE" w:rsidRPr="00FD786C" w:rsidRDefault="00E40CCE" w:rsidP="00536A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40CCE" w:rsidRPr="00FD786C" w14:paraId="0A2E64F9" w14:textId="77777777" w:rsidTr="00536AE6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84A7B7" w14:textId="77777777" w:rsidR="00E40CCE" w:rsidRPr="00FD786C" w:rsidRDefault="00E40CCE" w:rsidP="00536A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3622D97E" w14:textId="77777777" w:rsidR="00E40CCE" w:rsidRPr="00FD786C" w:rsidRDefault="00E40CCE" w:rsidP="00536A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71FE9196" w14:textId="77777777" w:rsidR="00E40CCE" w:rsidRPr="00FD786C" w:rsidRDefault="00E40CCE" w:rsidP="00536A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4E241E07" w14:textId="77777777" w:rsidR="00E40CCE" w:rsidRPr="00FD786C" w:rsidRDefault="00E40CCE" w:rsidP="00536A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A0DA2B" w14:textId="77777777" w:rsidR="00E40CCE" w:rsidRPr="00FD786C" w:rsidRDefault="00E40CCE" w:rsidP="00536A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7DE857A" w14:textId="77777777" w:rsidR="00E40CCE" w:rsidRPr="00FD786C" w:rsidRDefault="00E40CCE" w:rsidP="00536A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27</w:t>
            </w: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трав</w:t>
            </w: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ня 2021 року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5EB37BB3" w14:textId="77777777" w:rsidR="00E40CCE" w:rsidRPr="00FD786C" w:rsidRDefault="00E40CCE" w:rsidP="00536A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69D6ED3" w14:textId="77777777" w:rsidR="00E40CCE" w:rsidRPr="00FD786C" w:rsidRDefault="00E40CCE" w:rsidP="00536A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00B1649B" w14:textId="77777777" w:rsidR="00E40CCE" w:rsidRPr="00FD786C" w:rsidRDefault="00E40CCE" w:rsidP="00536A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тестування за фізичної присутності кандидатів)</w:t>
            </w:r>
          </w:p>
          <w:p w14:paraId="306D3A84" w14:textId="77777777" w:rsidR="00E40CCE" w:rsidRPr="00FD786C" w:rsidRDefault="00E40CCE" w:rsidP="00536A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96ABA3C" w14:textId="77777777" w:rsidR="00E40CCE" w:rsidRPr="00FD786C" w:rsidRDefault="00E40CCE" w:rsidP="00536A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3E7784CC" w14:textId="77777777" w:rsidR="00E40CCE" w:rsidRPr="00FD786C" w:rsidRDefault="00E40CCE" w:rsidP="00536A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співбесіди за фізичної присутності кандидатів)</w:t>
            </w:r>
          </w:p>
        </w:tc>
      </w:tr>
      <w:tr w:rsidR="00E40CCE" w:rsidRPr="00FD786C" w14:paraId="14C3C6CF" w14:textId="77777777" w:rsidTr="00536AE6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E45649" w14:textId="77777777" w:rsidR="00E40CCE" w:rsidRPr="00FD786C" w:rsidRDefault="00E40CCE" w:rsidP="00536A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CF0057" w14:textId="77777777" w:rsidR="00E40CCE" w:rsidRPr="00FD786C" w:rsidRDefault="00E40CCE" w:rsidP="00536A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</w:t>
            </w:r>
            <w:proofErr w:type="spellEnd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Марія </w:t>
            </w:r>
            <w:proofErr w:type="spellStart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  <w:p w14:paraId="1A4CF0EF" w14:textId="77777777" w:rsidR="00E40CCE" w:rsidRPr="00FD786C" w:rsidRDefault="00E40CCE" w:rsidP="00536A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E40CCE" w:rsidRPr="00FD786C" w14:paraId="0BFD2154" w14:textId="77777777" w:rsidTr="00536AE6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AEBFB4" w14:textId="77777777" w:rsidR="00E40CCE" w:rsidRPr="00FD786C" w:rsidRDefault="00E40CCE" w:rsidP="00536A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E40CCE" w:rsidRPr="00FD786C" w14:paraId="7E7499EA" w14:textId="77777777" w:rsidTr="00536AE6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F44B31" w14:textId="77777777" w:rsidR="00E40CCE" w:rsidRPr="00FD786C" w:rsidRDefault="00E40CCE" w:rsidP="00536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F548B5" w14:textId="77777777" w:rsidR="00E40CCE" w:rsidRPr="00FD786C" w:rsidRDefault="00E40CCE" w:rsidP="0053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F2FA2E" w14:textId="77777777" w:rsidR="00E40CCE" w:rsidRPr="00FD786C" w:rsidRDefault="00E40CCE" w:rsidP="0053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  <w:r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(</w:t>
            </w:r>
            <w:proofErr w:type="spellStart"/>
            <w:r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спеціальності</w:t>
            </w:r>
            <w:proofErr w:type="spellEnd"/>
            <w:r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: «</w:t>
            </w:r>
            <w:proofErr w:type="spellStart"/>
            <w:r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Правознавство</w:t>
            </w:r>
            <w:proofErr w:type="spellEnd"/>
            <w:r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», «Право»)</w:t>
            </w:r>
          </w:p>
        </w:tc>
      </w:tr>
      <w:tr w:rsidR="00E40CCE" w:rsidRPr="00FD786C" w14:paraId="7E969FD3" w14:textId="77777777" w:rsidTr="00536AE6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4192BA" w14:textId="77777777" w:rsidR="00E40CCE" w:rsidRPr="00FD786C" w:rsidRDefault="00E40CCE" w:rsidP="00536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A6D8FE" w14:textId="77777777" w:rsidR="00E40CCE" w:rsidRPr="00FD786C" w:rsidRDefault="00E40CCE" w:rsidP="0053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DF3F92" w14:textId="77777777" w:rsidR="00E40CCE" w:rsidRPr="00FD786C" w:rsidRDefault="00E40CCE" w:rsidP="0053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Не потребує, але бажаний у сфері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кримінального </w:t>
            </w:r>
            <w:r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права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 та процесу</w:t>
            </w:r>
            <w:r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E40CCE" w:rsidRPr="00FD786C" w14:paraId="03C979DC" w14:textId="77777777" w:rsidTr="00536AE6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7E4F0B" w14:textId="77777777" w:rsidR="00E40CCE" w:rsidRPr="00FD786C" w:rsidRDefault="00E40CCE" w:rsidP="00536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AB60B1" w14:textId="77777777" w:rsidR="00E40CCE" w:rsidRPr="00FD786C" w:rsidRDefault="00E40CCE" w:rsidP="0053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A93E57" w14:textId="77777777" w:rsidR="00E40CCE" w:rsidRPr="00FD786C" w:rsidRDefault="00E40CCE" w:rsidP="0053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E40CCE" w:rsidRPr="00FD786C" w14:paraId="0AA120FD" w14:textId="77777777" w:rsidTr="00536AE6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548FE9" w14:textId="77777777" w:rsidR="00E40CCE" w:rsidRPr="00FD786C" w:rsidRDefault="00E40CCE" w:rsidP="00536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21D72E" w14:textId="77777777" w:rsidR="00E40CCE" w:rsidRPr="00FD786C" w:rsidRDefault="00E40CCE" w:rsidP="0053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48CB04" w14:textId="77777777" w:rsidR="00E40CCE" w:rsidRPr="00FD786C" w:rsidRDefault="00E40CCE" w:rsidP="0053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E40CCE" w:rsidRPr="00FD786C" w14:paraId="2BF1DC05" w14:textId="77777777" w:rsidTr="00536AE6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7B36CA" w14:textId="77777777" w:rsidR="00E40CCE" w:rsidRPr="00FD786C" w:rsidRDefault="00E40CCE" w:rsidP="00536A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Вимоги до компетентності</w:t>
            </w:r>
          </w:p>
        </w:tc>
      </w:tr>
      <w:tr w:rsidR="00E40CCE" w:rsidRPr="00FD786C" w14:paraId="7B3A390C" w14:textId="77777777" w:rsidTr="00536AE6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927039" w14:textId="77777777" w:rsidR="00E40CCE" w:rsidRPr="00FD786C" w:rsidRDefault="00E40CCE" w:rsidP="00536A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E834B1" w14:textId="77777777" w:rsidR="00E40CCE" w:rsidRPr="00FD786C" w:rsidRDefault="00E40CCE" w:rsidP="00536A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E40CCE" w:rsidRPr="00FD786C" w14:paraId="727B6D8D" w14:textId="77777777" w:rsidTr="00536AE6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AB7DE5" w14:textId="77777777" w:rsidR="00E40CCE" w:rsidRPr="00FD786C" w:rsidRDefault="00E40CCE" w:rsidP="00536A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096978" w14:textId="77777777" w:rsidR="00E40CCE" w:rsidRPr="00FD786C" w:rsidRDefault="00E40CCE" w:rsidP="00536AE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Аналітичні здібності</w:t>
            </w:r>
          </w:p>
          <w:p w14:paraId="35201209" w14:textId="77777777" w:rsidR="00E40CCE" w:rsidRPr="00FD786C" w:rsidRDefault="00E40CCE" w:rsidP="00536A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60BD43" w14:textId="77777777" w:rsidR="00E40CCE" w:rsidRPr="00FD786C" w:rsidRDefault="00E40CCE" w:rsidP="00E40CCE">
            <w:pPr>
              <w:numPr>
                <w:ilvl w:val="0"/>
                <w:numId w:val="1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5C496C95" w14:textId="77777777" w:rsidR="00E40CCE" w:rsidRPr="00FD786C" w:rsidRDefault="00E40CCE" w:rsidP="00E40CCE">
            <w:pPr>
              <w:numPr>
                <w:ilvl w:val="0"/>
                <w:numId w:val="1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вміння встановлювати причинно-наслідкові зв’язки;</w:t>
            </w:r>
          </w:p>
          <w:p w14:paraId="07D787A5" w14:textId="77777777" w:rsidR="00E40CCE" w:rsidRPr="00FD786C" w:rsidRDefault="00E40CCE" w:rsidP="00536A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критично оцінювати ситуації, прогнозувати та робити власні умовиводи</w:t>
            </w:r>
          </w:p>
        </w:tc>
      </w:tr>
      <w:tr w:rsidR="00E40CCE" w:rsidRPr="00E40CCE" w14:paraId="6385CE21" w14:textId="77777777" w:rsidTr="00536AE6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26A54D" w14:textId="77777777" w:rsidR="00E40CCE" w:rsidRPr="00FD786C" w:rsidRDefault="00E40CCE" w:rsidP="00536A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A01DD0" w14:textId="77777777" w:rsidR="00E40CCE" w:rsidRPr="00E40CCE" w:rsidRDefault="00E40CCE" w:rsidP="00E40C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Досягнення результатів 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A4A028" w14:textId="77777777" w:rsidR="00E40CCE" w:rsidRPr="00E40CCE" w:rsidRDefault="00E40CCE" w:rsidP="00E4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до  чіткого бачення результату діяльності;</w:t>
            </w:r>
          </w:p>
          <w:p w14:paraId="3CA11871" w14:textId="77777777" w:rsidR="00E40CCE" w:rsidRPr="00E40CCE" w:rsidRDefault="00E40CCE" w:rsidP="00E4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фокусувати зусилля для досягнення результату діяльності;</w:t>
            </w:r>
          </w:p>
          <w:p w14:paraId="0B336EE9" w14:textId="77777777" w:rsidR="00E40CCE" w:rsidRPr="00E40CCE" w:rsidRDefault="00E40CCE" w:rsidP="00E4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запобігати та ефективно долати перешкоди;</w:t>
            </w:r>
          </w:p>
          <w:p w14:paraId="4F329B8A" w14:textId="77777777" w:rsidR="00E40CCE" w:rsidRPr="00E40CCE" w:rsidRDefault="00E40CCE" w:rsidP="00E4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вміння встановлювати причинно-наслідкові зв’язки </w:t>
            </w:r>
          </w:p>
        </w:tc>
      </w:tr>
      <w:tr w:rsidR="00E40CCE" w:rsidRPr="00E40CCE" w14:paraId="025BC457" w14:textId="77777777" w:rsidTr="00536AE6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41AF64" w14:textId="77777777" w:rsidR="00E40CCE" w:rsidRPr="00FD786C" w:rsidRDefault="00E40CCE" w:rsidP="00536A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F25C48" w14:textId="77777777" w:rsidR="00E40CCE" w:rsidRPr="00E40CCE" w:rsidRDefault="00E40CCE" w:rsidP="00E40C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Відповідальність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CAFE8A" w14:textId="77777777" w:rsidR="00E40CCE" w:rsidRPr="00E40CCE" w:rsidRDefault="00E40CCE" w:rsidP="00E4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5F93B971" w14:textId="77777777" w:rsidR="00E40CCE" w:rsidRPr="00E40CCE" w:rsidRDefault="00E40CCE" w:rsidP="00E4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13DFE90" w14:textId="77777777" w:rsidR="00E40CCE" w:rsidRPr="00E40CCE" w:rsidRDefault="00E40CCE" w:rsidP="00E4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брати на себе зобов’язання, чітко їх дотримуватись і виконувати</w:t>
            </w:r>
          </w:p>
        </w:tc>
      </w:tr>
      <w:tr w:rsidR="00E40CCE" w:rsidRPr="00E40CCE" w14:paraId="2D2069FA" w14:textId="77777777" w:rsidTr="00536AE6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87F1E9" w14:textId="77777777" w:rsidR="00E40CCE" w:rsidRPr="00FD786C" w:rsidRDefault="00E40CCE" w:rsidP="00536A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5822E2" w14:textId="77777777" w:rsidR="00E40CCE" w:rsidRPr="00E40CCE" w:rsidRDefault="00E40CCE" w:rsidP="00E40C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Цифрова грамотність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3EFB2A" w14:textId="77777777" w:rsidR="00E40CCE" w:rsidRPr="00E40CCE" w:rsidRDefault="00E40CCE" w:rsidP="00E4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використовувати комп`ютерні пристрої, базове офісне та спеціалізоване програмне забезпечення для ефективного виконання своїх посадових обов`язків;</w:t>
            </w:r>
          </w:p>
          <w:p w14:paraId="4E36438A" w14:textId="77777777" w:rsidR="00E40CCE" w:rsidRPr="00E40CCE" w:rsidRDefault="00E40CCE" w:rsidP="00E4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14:paraId="12C9D157" w14:textId="77777777" w:rsidR="00E40CCE" w:rsidRPr="00E40CCE" w:rsidRDefault="00E40CCE" w:rsidP="00E4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63709FAA" w14:textId="77777777" w:rsidR="00E40CCE" w:rsidRPr="00E40CCE" w:rsidRDefault="00E40CCE" w:rsidP="00E4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72AA2B46" w14:textId="77777777" w:rsidR="00E40CCE" w:rsidRPr="00E40CCE" w:rsidRDefault="00E40CCE" w:rsidP="00E4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обов`язків, вміти користуватись кваліфікованим електронним підписом (КЕП);</w:t>
            </w:r>
          </w:p>
          <w:p w14:paraId="054B1990" w14:textId="77777777" w:rsidR="00E40CCE" w:rsidRPr="00E40CCE" w:rsidRDefault="00E40CCE" w:rsidP="00E4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E40CCE" w:rsidRPr="00FD786C" w14:paraId="25DD563C" w14:textId="77777777" w:rsidTr="00536AE6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8E6C4B" w14:textId="77777777" w:rsidR="00E40CCE" w:rsidRPr="00FD786C" w:rsidRDefault="00E40CCE" w:rsidP="00536A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E40CCE" w:rsidRPr="00FD786C" w14:paraId="0A10338D" w14:textId="77777777" w:rsidTr="00536AE6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41FF3C" w14:textId="77777777" w:rsidR="00E40CCE" w:rsidRPr="00FD786C" w:rsidRDefault="00E40CCE" w:rsidP="00536A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E9668D" w14:textId="77777777" w:rsidR="00E40CCE" w:rsidRPr="00FD786C" w:rsidRDefault="00E40CCE" w:rsidP="00536A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E40CCE" w:rsidRPr="00FD786C" w14:paraId="6C3648B3" w14:textId="77777777" w:rsidTr="00536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2A96534F" w14:textId="77777777" w:rsidR="00E40CCE" w:rsidRPr="00FD786C" w:rsidRDefault="00E40CCE" w:rsidP="00536AE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406C22F" w14:textId="77777777" w:rsidR="00E40CCE" w:rsidRPr="00FD786C" w:rsidRDefault="00E40CCE" w:rsidP="00536AE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shd w:val="clear" w:color="auto" w:fill="auto"/>
          </w:tcPr>
          <w:p w14:paraId="72545FA9" w14:textId="77777777" w:rsidR="00E40CCE" w:rsidRPr="00FD786C" w:rsidRDefault="00E40CCE" w:rsidP="00536A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9E6C763" w14:textId="77777777" w:rsidR="00E40CCE" w:rsidRPr="00FD786C" w:rsidRDefault="00E40CCE" w:rsidP="00536A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157BF783" w14:textId="77777777" w:rsidR="00E40CCE" w:rsidRPr="00FD786C" w:rsidRDefault="00E40CCE" w:rsidP="00536A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4FD30833" w14:textId="77777777" w:rsidR="00E40CCE" w:rsidRPr="00FD786C" w:rsidRDefault="00E40CCE" w:rsidP="00536A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6DEE5B6D" w14:textId="77777777" w:rsidR="00E40CCE" w:rsidRPr="00FD786C" w:rsidRDefault="00E40CCE" w:rsidP="00536A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та іншого законодавства</w:t>
            </w:r>
          </w:p>
        </w:tc>
      </w:tr>
      <w:tr w:rsidR="00E40CCE" w:rsidRPr="00FD786C" w14:paraId="14274B82" w14:textId="77777777" w:rsidTr="00536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798FEEA3" w14:textId="77777777" w:rsidR="00E40CCE" w:rsidRPr="00FD786C" w:rsidRDefault="00E40CCE" w:rsidP="00536AE6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1C2EDE9" w14:textId="77777777" w:rsidR="00E40CCE" w:rsidRPr="00FD786C" w:rsidRDefault="00E40CCE" w:rsidP="00536AE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  <w:p w14:paraId="4E2DBF83" w14:textId="77777777" w:rsidR="00E40CCE" w:rsidRPr="00FD786C" w:rsidRDefault="00E40CCE" w:rsidP="00536AE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4C18E373" w14:textId="77777777" w:rsidR="00E40CCE" w:rsidRPr="00F350F7" w:rsidRDefault="00E40CCE" w:rsidP="00536A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71DA8AF7" w14:textId="77777777" w:rsidR="00E40CCE" w:rsidRPr="00D87786" w:rsidRDefault="00E40CCE" w:rsidP="00E40CCE">
            <w:pPr>
              <w:pStyle w:val="a5"/>
              <w:numPr>
                <w:ilvl w:val="0"/>
                <w:numId w:val="2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прокуратуру»; </w:t>
            </w:r>
          </w:p>
          <w:p w14:paraId="68121DEA" w14:textId="77777777" w:rsidR="00E40CCE" w:rsidRPr="009A6DFE" w:rsidRDefault="00E40CCE" w:rsidP="00E40CCE">
            <w:pPr>
              <w:pStyle w:val="a5"/>
              <w:numPr>
                <w:ilvl w:val="0"/>
                <w:numId w:val="6"/>
              </w:numPr>
              <w:ind w:left="237" w:hanging="237"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внесення змін до деяких законодавчих актів України щодо першочергових заходів із реформи органів прокуратури»; </w:t>
            </w:r>
            <w:r w:rsidRPr="009A6DFE">
              <w:rPr>
                <w:sz w:val="24"/>
                <w:szCs w:val="24"/>
              </w:rPr>
              <w:t xml:space="preserve">Кримінального кодексу України, </w:t>
            </w:r>
          </w:p>
          <w:p w14:paraId="1A128156" w14:textId="77777777" w:rsidR="00E40CCE" w:rsidRPr="009A6DFE" w:rsidRDefault="00E40CCE" w:rsidP="00E40CCE">
            <w:pPr>
              <w:pStyle w:val="a5"/>
              <w:numPr>
                <w:ilvl w:val="0"/>
                <w:numId w:val="6"/>
              </w:numPr>
              <w:ind w:left="237" w:hanging="237"/>
              <w:rPr>
                <w:sz w:val="24"/>
                <w:szCs w:val="24"/>
              </w:rPr>
            </w:pPr>
            <w:r w:rsidRPr="009A6DFE">
              <w:rPr>
                <w:sz w:val="24"/>
                <w:szCs w:val="24"/>
              </w:rPr>
              <w:t xml:space="preserve">Кримінального процесуального кодексу України, </w:t>
            </w:r>
          </w:p>
          <w:p w14:paraId="52F88639" w14:textId="77777777" w:rsidR="00E40CCE" w:rsidRPr="009A6DFE" w:rsidRDefault="00E40CCE" w:rsidP="00E40CCE">
            <w:pPr>
              <w:pStyle w:val="a5"/>
              <w:numPr>
                <w:ilvl w:val="0"/>
                <w:numId w:val="6"/>
              </w:numPr>
              <w:ind w:left="237" w:hanging="237"/>
              <w:rPr>
                <w:sz w:val="24"/>
                <w:szCs w:val="24"/>
              </w:rPr>
            </w:pPr>
            <w:r w:rsidRPr="009A6DFE"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14:paraId="23422B93" w14:textId="77777777" w:rsidR="00E40CCE" w:rsidRDefault="00E40CCE" w:rsidP="00E40CCE">
            <w:pPr>
              <w:pStyle w:val="a5"/>
              <w:numPr>
                <w:ilvl w:val="0"/>
                <w:numId w:val="2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9A6DFE">
              <w:rPr>
                <w:sz w:val="24"/>
                <w:szCs w:val="24"/>
              </w:rPr>
              <w:t xml:space="preserve">Закону України «Про захист персональних даних»; </w:t>
            </w:r>
            <w:r>
              <w:rPr>
                <w:sz w:val="24"/>
                <w:szCs w:val="24"/>
              </w:rPr>
              <w:t>-</w:t>
            </w:r>
          </w:p>
          <w:p w14:paraId="3EB8A047" w14:textId="77777777" w:rsidR="00E40CCE" w:rsidRPr="00D87786" w:rsidRDefault="00E40CCE" w:rsidP="00E40CCE">
            <w:pPr>
              <w:pStyle w:val="a5"/>
              <w:numPr>
                <w:ilvl w:val="0"/>
                <w:numId w:val="2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звернення громадян»; </w:t>
            </w:r>
          </w:p>
          <w:p w14:paraId="4BE99C0F" w14:textId="77777777" w:rsidR="00E40CCE" w:rsidRPr="00D87786" w:rsidRDefault="00E40CCE" w:rsidP="00E40CCE">
            <w:pPr>
              <w:pStyle w:val="a5"/>
              <w:numPr>
                <w:ilvl w:val="0"/>
                <w:numId w:val="2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>Закону України «Про доступ до публічної інформації»</w:t>
            </w:r>
          </w:p>
          <w:p w14:paraId="5C14C43D" w14:textId="77777777" w:rsidR="00E40CCE" w:rsidRPr="00F350F7" w:rsidRDefault="00E40CCE" w:rsidP="00E40CCE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Накази Генерального прокурора з основних напрямків </w:t>
            </w: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прокурорської діяльності</w:t>
            </w:r>
          </w:p>
          <w:p w14:paraId="23B93B5E" w14:textId="77777777" w:rsidR="00E40CCE" w:rsidRPr="00FD786C" w:rsidRDefault="00E40CCE" w:rsidP="00E40CCE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  <w:r w:rsidRPr="00FD786C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</w:tc>
      </w:tr>
      <w:tr w:rsidR="00E40CCE" w:rsidRPr="00C62DF2" w14:paraId="4675EA4F" w14:textId="77777777" w:rsidTr="00536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51"/>
        </w:trPr>
        <w:tc>
          <w:tcPr>
            <w:tcW w:w="564" w:type="dxa"/>
            <w:gridSpan w:val="2"/>
          </w:tcPr>
          <w:p w14:paraId="42888335" w14:textId="77777777" w:rsidR="00E40CCE" w:rsidRPr="00C62DF2" w:rsidRDefault="00E40CCE" w:rsidP="00E40CC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62DF2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977" w:type="dxa"/>
            <w:gridSpan w:val="2"/>
          </w:tcPr>
          <w:p w14:paraId="0A1E5EF3" w14:textId="77777777" w:rsidR="00E40CCE" w:rsidRPr="00C62DF2" w:rsidRDefault="00E40CCE" w:rsidP="00E40CC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62DF2">
              <w:rPr>
                <w:rFonts w:ascii="Times New Roman" w:hAnsi="Times New Roman" w:cs="Times New Roman"/>
                <w:sz w:val="24"/>
              </w:rPr>
              <w:t>Знання</w:t>
            </w:r>
            <w:proofErr w:type="spellEnd"/>
            <w:r w:rsidRPr="00C62D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62DF2">
              <w:rPr>
                <w:rFonts w:ascii="Times New Roman" w:hAnsi="Times New Roman" w:cs="Times New Roman"/>
                <w:sz w:val="24"/>
              </w:rPr>
              <w:t>принципів</w:t>
            </w:r>
            <w:proofErr w:type="spellEnd"/>
            <w:r w:rsidRPr="00C62D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62DF2">
              <w:rPr>
                <w:rFonts w:ascii="Times New Roman" w:hAnsi="Times New Roman" w:cs="Times New Roman"/>
                <w:sz w:val="24"/>
              </w:rPr>
              <w:t>роботи</w:t>
            </w:r>
            <w:proofErr w:type="spellEnd"/>
            <w:r w:rsidRPr="00C62D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62DF2">
              <w:rPr>
                <w:rFonts w:ascii="Times New Roman" w:hAnsi="Times New Roman" w:cs="Times New Roman"/>
                <w:sz w:val="24"/>
              </w:rPr>
              <w:t>державних</w:t>
            </w:r>
            <w:proofErr w:type="spellEnd"/>
            <w:r w:rsidRPr="00C62D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62DF2">
              <w:rPr>
                <w:rFonts w:ascii="Times New Roman" w:hAnsi="Times New Roman" w:cs="Times New Roman"/>
                <w:sz w:val="24"/>
              </w:rPr>
              <w:t>інформаційних</w:t>
            </w:r>
            <w:proofErr w:type="spellEnd"/>
            <w:r w:rsidRPr="00C62DF2">
              <w:rPr>
                <w:rFonts w:ascii="Times New Roman" w:hAnsi="Times New Roman" w:cs="Times New Roman"/>
                <w:sz w:val="24"/>
              </w:rPr>
              <w:t xml:space="preserve"> систем, </w:t>
            </w:r>
            <w:proofErr w:type="spellStart"/>
            <w:r w:rsidRPr="00C62DF2">
              <w:rPr>
                <w:rFonts w:ascii="Times New Roman" w:hAnsi="Times New Roman" w:cs="Times New Roman"/>
                <w:sz w:val="24"/>
              </w:rPr>
              <w:t>реєстрів</w:t>
            </w:r>
            <w:proofErr w:type="spellEnd"/>
            <w:r w:rsidRPr="00C62DF2">
              <w:rPr>
                <w:rFonts w:ascii="Times New Roman" w:hAnsi="Times New Roman" w:cs="Times New Roman"/>
                <w:sz w:val="24"/>
              </w:rPr>
              <w:t xml:space="preserve">, баз </w:t>
            </w:r>
            <w:proofErr w:type="spellStart"/>
            <w:r w:rsidRPr="00C62DF2">
              <w:rPr>
                <w:rFonts w:ascii="Times New Roman" w:hAnsi="Times New Roman" w:cs="Times New Roman"/>
                <w:sz w:val="24"/>
              </w:rPr>
              <w:t>даних</w:t>
            </w:r>
            <w:proofErr w:type="spellEnd"/>
            <w:r w:rsidRPr="00C62DF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54" w:type="dxa"/>
          </w:tcPr>
          <w:p w14:paraId="4A2D49D2" w14:textId="77777777" w:rsidR="00E40CCE" w:rsidRPr="00C62DF2" w:rsidRDefault="00E40CCE" w:rsidP="00E40CCE">
            <w:pPr>
              <w:tabs>
                <w:tab w:val="left" w:pos="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C6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</w:t>
            </w:r>
            <w:proofErr w:type="spellStart"/>
            <w:r w:rsidRPr="00C6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C6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C6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відкритими</w:t>
            </w:r>
            <w:proofErr w:type="spellEnd"/>
            <w:r w:rsidRPr="00C6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базами </w:t>
            </w:r>
            <w:proofErr w:type="spellStart"/>
            <w:r w:rsidRPr="00C6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</w:p>
        </w:tc>
      </w:tr>
    </w:tbl>
    <w:p w14:paraId="34AABD8E" w14:textId="77777777" w:rsidR="00E40CCE" w:rsidRPr="00FD786C" w:rsidRDefault="00E40CCE" w:rsidP="00E40CCE">
      <w:pPr>
        <w:rPr>
          <w:lang w:val="uk-UA"/>
        </w:rPr>
      </w:pPr>
      <w:bookmarkStart w:id="2" w:name="n767"/>
      <w:bookmarkEnd w:id="2"/>
    </w:p>
    <w:p w14:paraId="603DAC24" w14:textId="77777777" w:rsidR="00DD7240" w:rsidRPr="00E40CCE" w:rsidRDefault="00DD7240">
      <w:pPr>
        <w:rPr>
          <w:lang w:val="uk-UA"/>
        </w:rPr>
      </w:pPr>
    </w:p>
    <w:sectPr w:rsidR="00DD7240" w:rsidRPr="00E4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3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4" w15:restartNumberingAfterBreak="0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CE"/>
    <w:rsid w:val="005565A0"/>
    <w:rsid w:val="006C72EE"/>
    <w:rsid w:val="00C07387"/>
    <w:rsid w:val="00DD7240"/>
    <w:rsid w:val="00E4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C8AF"/>
  <w15:chartTrackingRefBased/>
  <w15:docId w15:val="{B92327FB-5128-4212-ABF5-3DAB573F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CCE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rsid w:val="00E40CCE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E40CCE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E40CCE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E40CCE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E40CCE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E40CC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1360</Words>
  <Characters>7758</Characters>
  <Application>Microsoft Office Word</Application>
  <DocSecurity>0</DocSecurity>
  <Lines>64</Lines>
  <Paragraphs>18</Paragraphs>
  <ScaleCrop>false</ScaleCrop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inna shihatova</cp:lastModifiedBy>
  <cp:revision>3</cp:revision>
  <cp:lastPrinted>2021-05-17T10:59:00Z</cp:lastPrinted>
  <dcterms:created xsi:type="dcterms:W3CDTF">2021-05-16T15:45:00Z</dcterms:created>
  <dcterms:modified xsi:type="dcterms:W3CDTF">2021-05-17T14:08:00Z</dcterms:modified>
</cp:coreProperties>
</file>