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7FECF790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17FC0A6E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DE0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DE0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DE0C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768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7BDCECED" w14:textId="77777777" w:rsidR="00B81082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B81082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кадрової роботи та державної служби</w:t>
      </w:r>
    </w:p>
    <w:p w14:paraId="056789DD" w14:textId="14D2F3BA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FD786C" w14:paraId="2D07DB8C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DE0C23" w14:paraId="6D67ED87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B81082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E96620" w14:textId="77777777" w:rsidR="00DE0C23" w:rsidRPr="00557EE0" w:rsidRDefault="00DE0C23" w:rsidP="00DE0C23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профільного</w:t>
            </w:r>
            <w:proofErr w:type="spellEnd"/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напрямком</w:t>
            </w:r>
            <w:proofErr w:type="spellEnd"/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FF8E61" w14:textId="77777777" w:rsidR="00DE0C23" w:rsidRPr="00324142" w:rsidRDefault="00DE0C23" w:rsidP="00DE0C2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в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конкурсів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заміщення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службовців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вакантних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«Б» та «В», проводить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поданих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кандидатами, на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встановленим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такої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конкурсної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уповноваженій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конкурсного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відбору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(добору)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вакантних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«Б» та «В» про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(добору)</w:t>
            </w: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05CDEC" w14:textId="77777777" w:rsidR="00DE0C23" w:rsidRPr="00324142" w:rsidRDefault="00DE0C23" w:rsidP="00DE0C2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Присяги державного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особами,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вперше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вступають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службу,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присвоєння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рангів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в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своєчасн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обчисленн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їм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вислуги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DB9906E" w14:textId="77777777" w:rsidR="00DE0C23" w:rsidRPr="00324142" w:rsidRDefault="00DE0C23" w:rsidP="00DE0C2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наказів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переміщення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звільнення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службовців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присвоєння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рангів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наказів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2E6A08F" w14:textId="77777777" w:rsidR="00DE0C23" w:rsidRDefault="00DE0C23" w:rsidP="00DE0C2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встановлену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звітно-облікову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документацію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ої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ості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службовців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кадрових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4AA4433" w14:textId="4BC4BCEB" w:rsidR="00DE0C23" w:rsidRDefault="00DE0C23" w:rsidP="00DE0C2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аналогічну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03071F7D" w14:textId="77777777" w:rsidR="00DE0C23" w:rsidRPr="00324142" w:rsidRDefault="00DE0C23" w:rsidP="00DE0C2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«Кадри» та СЕД.</w:t>
            </w:r>
          </w:p>
          <w:p w14:paraId="0542C40E" w14:textId="434FB269" w:rsidR="000E5B04" w:rsidRPr="00B81082" w:rsidRDefault="00DE0C23" w:rsidP="00DE0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ує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інш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забезпеченням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324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</w:t>
            </w:r>
          </w:p>
        </w:tc>
      </w:tr>
      <w:tr w:rsidR="000E5B04" w:rsidRPr="00DE0C23" w14:paraId="2A9E2AE9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41677C86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14:paraId="47A96F13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17F9509B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DE0C23" w:rsidRPr="00DE0C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17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DE0C2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20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339EBA70" w:rsidR="000C3C18" w:rsidRPr="00FD786C" w:rsidRDefault="00DE0C23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27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квітня 2021 року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C8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36DC40E" w14:textId="77777777" w:rsidR="00DE0C23" w:rsidRDefault="00DE0C23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E1707CD" w14:textId="6B6316C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м. Маріуполь, вул. Університетська, 6 (проведення тестування за фізичної присутності кандидатів)</w:t>
            </w:r>
          </w:p>
          <w:p w14:paraId="5B2B7F7D" w14:textId="35073F5A" w:rsidR="003D5F02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7216399B" w14:textId="77777777" w:rsidR="00DE0C23" w:rsidRPr="00FD786C" w:rsidRDefault="00DE0C23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55425E" w14:textId="18870A2B" w:rsidR="000C3C18" w:rsidRPr="00FD786C" w:rsidRDefault="000C3C18" w:rsidP="00E76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Маріуполь, 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FD786C" w14:paraId="3D334747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7FB9125E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  <w:r w:rsidR="005F04B3"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3D5F02" w:rsidRPr="00FD786C" w14:paraId="4DB276FC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049988C3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права</w:t>
            </w:r>
            <w:r w:rsidR="00B8108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, представництва в судах, з кадрових питань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D5F02" w:rsidRPr="00FD786C" w14:paraId="66CCA6AC" w14:textId="77777777" w:rsidTr="00B8108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B8108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81082" w:rsidRPr="00B81082" w14:paraId="3C8343E2" w14:textId="77777777" w:rsidTr="0087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4" w:type="dxa"/>
            <w:gridSpan w:val="2"/>
          </w:tcPr>
          <w:p w14:paraId="660A00F7" w14:textId="77777777" w:rsidR="00B81082" w:rsidRPr="00B81082" w:rsidRDefault="00B81082" w:rsidP="00FE5C77">
            <w:pPr>
              <w:rPr>
                <w:rFonts w:ascii="Times New Roman" w:hAnsi="Times New Roman" w:cs="Times New Roman"/>
                <w:sz w:val="24"/>
              </w:rPr>
            </w:pPr>
            <w:r w:rsidRPr="00B810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gridSpan w:val="2"/>
          </w:tcPr>
          <w:p w14:paraId="28D3FE77" w14:textId="77777777" w:rsidR="00B81082" w:rsidRPr="00B81082" w:rsidRDefault="00B81082" w:rsidP="00FE5C77">
            <w:pPr>
              <w:spacing w:before="100" w:after="1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координації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</w:p>
        </w:tc>
        <w:tc>
          <w:tcPr>
            <w:tcW w:w="5954" w:type="dxa"/>
          </w:tcPr>
          <w:p w14:paraId="67D5E2EF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264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налагоджувати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підрозділами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органу,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36FE483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328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конструктивного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обміну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узгодження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упорядкування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69E2877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систематизації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зусиль</w:t>
            </w:r>
            <w:proofErr w:type="spellEnd"/>
          </w:p>
        </w:tc>
      </w:tr>
      <w:tr w:rsidR="00FD786C" w:rsidRPr="00FD786C" w14:paraId="3EA9FCE6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FD786C" w14:paraId="7896AF98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B8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DE0C23" w14:paraId="5EB0C01A" w14:textId="77777777" w:rsidTr="00B8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882F29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02A0CC7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4B937AC2" w:rsidR="00FD786C" w:rsidRPr="00F350F7" w:rsidRDefault="00FD786C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 w:rsidR="00B81082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088A5FFF" w14:textId="77777777" w:rsidR="00B81082" w:rsidRDefault="00B81082" w:rsidP="00B81082">
            <w:pPr>
              <w:pStyle w:val="a5"/>
              <w:numPr>
                <w:ilvl w:val="0"/>
                <w:numId w:val="3"/>
              </w:numPr>
              <w:tabs>
                <w:tab w:val="left" w:pos="412"/>
              </w:tabs>
              <w:spacing w:after="20"/>
              <w:ind w:right="260"/>
              <w:rPr>
                <w:rFonts w:eastAsia="Times New Roman" w:cs="Times New Roman"/>
                <w:sz w:val="24"/>
                <w:szCs w:val="24"/>
              </w:rPr>
            </w:pPr>
            <w:r w:rsidRPr="00303957">
              <w:rPr>
                <w:rFonts w:eastAsia="Times New Roman" w:cs="Times New Roman"/>
                <w:sz w:val="24"/>
                <w:szCs w:val="24"/>
              </w:rPr>
              <w:t>Кодекс</w:t>
            </w: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303957">
              <w:rPr>
                <w:rFonts w:eastAsia="Times New Roman" w:cs="Times New Roman"/>
                <w:sz w:val="24"/>
                <w:szCs w:val="24"/>
              </w:rPr>
              <w:t xml:space="preserve"> законів про працю України;</w:t>
            </w:r>
          </w:p>
          <w:p w14:paraId="3F9178A7" w14:textId="77777777" w:rsidR="00B81082" w:rsidRDefault="00B81082" w:rsidP="00B81082">
            <w:pPr>
              <w:pStyle w:val="a5"/>
              <w:numPr>
                <w:ilvl w:val="0"/>
                <w:numId w:val="3"/>
              </w:numPr>
              <w:tabs>
                <w:tab w:val="left" w:pos="412"/>
              </w:tabs>
              <w:spacing w:after="20"/>
              <w:ind w:right="260"/>
              <w:rPr>
                <w:rFonts w:eastAsia="Times New Roman" w:cs="Times New Roman"/>
                <w:sz w:val="24"/>
                <w:szCs w:val="24"/>
              </w:rPr>
            </w:pPr>
            <w:r w:rsidRPr="008017EB">
              <w:rPr>
                <w:rFonts w:eastAsia="Times New Roman" w:cs="Times New Roman"/>
                <w:sz w:val="24"/>
                <w:szCs w:val="24"/>
              </w:rPr>
              <w:t>Кодекс</w:t>
            </w: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8017EB">
              <w:rPr>
                <w:rFonts w:eastAsia="Times New Roman" w:cs="Times New Roman"/>
                <w:sz w:val="24"/>
                <w:szCs w:val="24"/>
              </w:rPr>
              <w:t xml:space="preserve"> адміністративного судочинства України 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0E3B601A" w14:textId="77777777" w:rsidR="00B81082" w:rsidRDefault="00B81082" w:rsidP="00B81082">
            <w:pPr>
              <w:pStyle w:val="a5"/>
              <w:numPr>
                <w:ilvl w:val="0"/>
                <w:numId w:val="3"/>
              </w:numPr>
              <w:tabs>
                <w:tab w:val="left" w:pos="412"/>
              </w:tabs>
              <w:spacing w:after="20"/>
              <w:ind w:right="260"/>
              <w:rPr>
                <w:rFonts w:eastAsia="Times New Roman" w:cs="Times New Roman"/>
                <w:sz w:val="24"/>
                <w:szCs w:val="24"/>
              </w:rPr>
            </w:pPr>
            <w:r w:rsidRPr="00F3356C">
              <w:rPr>
                <w:rFonts w:eastAsia="Times New Roman" w:cs="Times New Roman"/>
                <w:sz w:val="24"/>
                <w:szCs w:val="24"/>
              </w:rPr>
              <w:t>Закону України «Про очищення влади</w:t>
            </w:r>
            <w:r>
              <w:rPr>
                <w:rFonts w:eastAsia="Times New Roman" w:cs="Times New Roman"/>
                <w:sz w:val="24"/>
                <w:szCs w:val="24"/>
              </w:rPr>
              <w:t>»;</w:t>
            </w:r>
          </w:p>
          <w:p w14:paraId="19AB60E4" w14:textId="16E27B52" w:rsidR="003D5F02" w:rsidRPr="00FD786C" w:rsidRDefault="00B81082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Постанови Кабінету Міністрів України від 16.10.2014 № 563 «Деякі питання реалізації Закону України «Про очищення влади».</w:t>
            </w:r>
          </w:p>
        </w:tc>
      </w:tr>
      <w:tr w:rsidR="003D5F02" w:rsidRPr="00DE0C23" w14:paraId="162D01B9" w14:textId="77777777" w:rsidTr="00B8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DC684E8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3E57B7F" w14:textId="77777777" w:rsidR="003D5F02" w:rsidRPr="00FD786C" w:rsidRDefault="003D5F02" w:rsidP="00056D2F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системи захисту інформації </w:t>
            </w:r>
          </w:p>
          <w:p w14:paraId="15BF67F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BBC8B77" w14:textId="77777777" w:rsidR="00F350F7" w:rsidRDefault="003D5F02" w:rsidP="00F350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Складові політики інформаційної безпеки;</w:t>
            </w:r>
          </w:p>
          <w:p w14:paraId="4357B0F8" w14:textId="69C9BF4B" w:rsidR="003D5F02" w:rsidRPr="00FD786C" w:rsidRDefault="003D5F02" w:rsidP="00F350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2" w:name="n767"/>
      <w:bookmarkEnd w:id="2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8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C3C18"/>
    <w:rsid w:val="000E5B04"/>
    <w:rsid w:val="003D5F02"/>
    <w:rsid w:val="005B78C2"/>
    <w:rsid w:val="005F04B3"/>
    <w:rsid w:val="00647249"/>
    <w:rsid w:val="006C72EE"/>
    <w:rsid w:val="007E2EF9"/>
    <w:rsid w:val="00871B4F"/>
    <w:rsid w:val="008C40BA"/>
    <w:rsid w:val="00A239B3"/>
    <w:rsid w:val="00B81082"/>
    <w:rsid w:val="00C85631"/>
    <w:rsid w:val="00DE0C23"/>
    <w:rsid w:val="00E76064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108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13</cp:revision>
  <cp:lastPrinted>2021-04-06T13:50:00Z</cp:lastPrinted>
  <dcterms:created xsi:type="dcterms:W3CDTF">2021-03-28T16:42:00Z</dcterms:created>
  <dcterms:modified xsi:type="dcterms:W3CDTF">2021-04-13T06:42:00Z</dcterms:modified>
</cp:coreProperties>
</file>